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08.04.2024</w:t>
      </w:r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Л030-00114-77/00070263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173057,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2019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ОРДЕНА ТРУДОВОГО КРАСНОГО ЗНАМЕНИ ФЕДЕРАЛЬНОЕ ГОСУДАРСТВЕННОЕ УНИТАРНОЕ ПРЕДПРИЯТИЕ "РОССИЙСКИЕ СЕТИ ВЕЩАНИЯ И ОПОВЕЩЕНИЯ" (ФГУП РСВО); адрес местонахождения: 105094, Г.МОСКВА, УЛ. СЕМЁНОВСКИЙ ВАЛ, Д.4; ОГРН: 1027739426802; телефон: +7 (499) 639 00 00; адрес электронной почты: info@rsvo.ru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7712005121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169-рчс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2024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23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2019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E41AED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2029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Л030-00114-77/00070263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413" w:rsidRPr="00044556" w:rsidRDefault="00E97CC1" w:rsidP="001915EF">
      <w:pPr>
        <w:widowControl w:val="0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818"/>
      </w:tblGrid>
      <w:tr w:rsidR="002E6910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2E6910" w:rsidRDefault="00E41AED">
            <w:pPr>
              <w:keepNext/>
              <w:keepLines/>
            </w:pPr>
            <w:r>
              <w:rPr>
                <w:rFonts w:ascii="Arial Black" w:hAnsi="Arial Black"/>
                <w:b/>
                <w:noProof/>
                <w:sz w:val="10"/>
                <w:szCs w:val="10"/>
              </w:rPr>
              <w:drawing>
                <wp:inline distT="0" distB="0" distL="0" distR="0">
                  <wp:extent cx="4953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2E6910" w:rsidRDefault="00E41AED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документооборота Роскомнадзора</w:t>
            </w:r>
          </w:p>
        </w:tc>
      </w:tr>
      <w:tr w:rsidR="002E6910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2E6910" w:rsidRDefault="00E41AED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2E6910" w:rsidTr="008041F4">
        <w:trPr>
          <w:cantSplit/>
          <w:jc w:val="center"/>
        </w:trPr>
        <w:tc>
          <w:tcPr>
            <w:tcW w:w="988" w:type="dxa"/>
          </w:tcPr>
          <w:p w:rsidR="002E6910" w:rsidRDefault="00E41AE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2E6910" w:rsidRDefault="00E41AE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236521508678222760834674010648900695428</w:t>
            </w:r>
          </w:p>
        </w:tc>
      </w:tr>
      <w:tr w:rsidR="002E6910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2E6910" w:rsidRDefault="00E41AE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2E6910" w:rsidRDefault="00E41AE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2E6910" w:rsidTr="008041F4">
        <w:trPr>
          <w:cantSplit/>
          <w:jc w:val="center"/>
        </w:trPr>
        <w:tc>
          <w:tcPr>
            <w:tcW w:w="988" w:type="dxa"/>
          </w:tcPr>
          <w:p w:rsidR="002E6910" w:rsidRDefault="00E41AE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2E6910" w:rsidRDefault="00E41AE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27.03.2023 по 19.06.2024</w:t>
            </w:r>
          </w:p>
        </w:tc>
      </w:tr>
    </w:tbl>
    <w:p w:rsidR="00000000" w:rsidRDefault="00E41AED"/>
    <w:p w:rsidR="00E41AED" w:rsidRDefault="00E41AED"/>
    <w:p w:rsidR="00E41AED" w:rsidRDefault="00E41AED"/>
    <w:p w:rsidR="00E41AED" w:rsidRDefault="00E41AED" w:rsidP="00E41AED">
      <w:pPr>
        <w:ind w:left="4820" w:right="-851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</w:rPr>
        <w:lastRenderedPageBreak/>
        <w:t xml:space="preserve">Приложение к выписке из реестра лицензий </w:t>
      </w:r>
    </w:p>
    <w:p w:rsidR="00E41AED" w:rsidRDefault="00E41AED" w:rsidP="00E41AED">
      <w:pPr>
        <w:ind w:left="4820" w:right="-85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области связи </w:t>
      </w:r>
    </w:p>
    <w:p w:rsidR="00E41AED" w:rsidRDefault="00E41AED" w:rsidP="00E41AED">
      <w:pPr>
        <w:rPr>
          <w:rFonts w:ascii="Times New Roman CYR" w:hAnsi="Times New Roman CYR"/>
        </w:rPr>
      </w:pPr>
    </w:p>
    <w:p w:rsidR="00E41AED" w:rsidRDefault="00E41AED" w:rsidP="00E41AED">
      <w:pPr>
        <w:rPr>
          <w:rFonts w:ascii="Times New Roman CYR" w:hAnsi="Times New Roman CYR"/>
        </w:rPr>
      </w:pPr>
    </w:p>
    <w:p w:rsidR="00E41AED" w:rsidRDefault="00E41AED" w:rsidP="00E41AED">
      <w:pPr>
        <w:pStyle w:val="1"/>
      </w:pPr>
      <w:r>
        <w:t>Лицензионные требования</w:t>
      </w:r>
      <w:r>
        <w:rPr>
          <w:sz w:val="28"/>
        </w:rPr>
        <w:t xml:space="preserve"> </w:t>
      </w:r>
      <w:r>
        <w:t xml:space="preserve">лицензии </w:t>
      </w:r>
      <w:r>
        <w:br/>
        <w:t xml:space="preserve">№ </w:t>
      </w:r>
      <w:r>
        <w:rPr>
          <w:sz w:val="28"/>
        </w:rPr>
        <w:t>Л030-00114-77/00070263</w:t>
      </w:r>
    </w:p>
    <w:p w:rsidR="00E41AED" w:rsidRDefault="00E41AED" w:rsidP="00E41AED">
      <w:pPr>
        <w:rPr>
          <w:rFonts w:ascii="Times New Roman CYR" w:hAnsi="Times New Roman CYR"/>
        </w:rPr>
      </w:pPr>
    </w:p>
    <w:tbl>
      <w:tblPr>
        <w:tblW w:w="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E41AED" w:rsidTr="00E41AED">
        <w:trPr>
          <w:trHeight w:val="427"/>
        </w:trPr>
        <w:tc>
          <w:tcPr>
            <w:tcW w:w="9923" w:type="dxa"/>
          </w:tcPr>
          <w:p w:rsidR="00E41AED" w:rsidRP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1. ОРДЕНА ТРУДОВОГО КРАСНОГО ЗНАМЕНИ ФЕДЕРАЛЬНОЕ ГОСУДАРСТВЕННОЕ УНИТАРНОЕ ПРЕДПРИЯТИЕ “РОССИЙСКИЕ СЕТИ ВЕЩАНИЯ И ОПОВЕЩЕНИЯ” (лицензиат) обязано соблюдать срок действия данной лицензии.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2. Лицензиат обязан начать оказание услуг связи в соответствии с записью в реестре лицензий в области связи в отношении данной лицензии не позднее 23.05.2019.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3. Лицензиат обязан оказывать услуги связи в соответствии с записью в реестре лицензий в области связи в отношении данной лицензии на территории Российской Федерации.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4. Лицензиат в соответствии с данной лицензией обязан обеспечить предоставление абоненту и (или) пользователю услугами связи*: 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а) доступа к сети связи лицензиата; 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б) доступа к информационным системам информационно-телекоммуникационных сетей, в том числе к информационно-телекоммуникационной сети “Интернет”; 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в) приема и передачи телематических электронных сообщений; 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г)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5. Лицензиат обязан оказывать услуги связи в соответствии с правилами оказания услуг связи, утвержденными Правительством Российской Федерации.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6. 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сети связи лицензиата к сети связи общего пользования.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7. Данная лицензия предоставлена без проведения торгов (аукциона, конкурса). Лицензионные требования о выполнении лицензиатом обязательств, которые он принял при участии в торгах (аукционе, конкурсе) на получение соответствующей лицензии не установлены.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8. Лицензиат обязан в процессе оказания услуг в соответствии с данной </w:t>
            </w:r>
            <w:r>
              <w:rPr>
                <w:szCs w:val="28"/>
              </w:rPr>
              <w:lastRenderedPageBreak/>
              <w:t>лицензией выполнять условия, установленные при выделении полос радиочастот и присвоении (назначении) радиочастоты или радиочастотного канала.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9. 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деятельность, требования к сетям и средствам связи для проведения оперативно-разыскных мероприятий, а также принимать меры по недопущению раскрытия организационных и тактических приемов проведения указанных мероприятий.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10. Лицензиат обязан реализовать требования, связанные с устойчивостью, безопасностью и целостностью функционирования на территории Российской Федерации сети связи общего пользования, в том числе информационно-телекоммуникационной сети “Интернет”.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11. Лицензиат не является оператором универсального обслуживания. Лицензионные требования по оказанию универсальных услуг в соответствии с договорами об условиях оказания универсальных услуг связи, заключенными с уполномоченным органом исполнительной власти не установлены.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12. 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13. Лицензиат обязан обеспечить наличие в Российской Федерации не менее одной станции сопряжения сети связи лицензиата, обеспечивающей взаимодействие с сетью связи общего пользования при оказании услуг связи с использованием спутниковой сети связи, находящейся под юрисдикцией иностранного государства (предъявляется к лицензиатам, обеспечивающим возможность передачи сообщений электросвязи непосредственно по спутниковой сети связи). 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При использовании спутниковой сети связи, находящейся под юрисдикцией иностранного государства, пропуск трафика, формирующегося абонентскими станциями (терминалами) на территории Российской Федерации, включая станции иностранных абонентов, с которыми лицензиатом не заключен договор об оказании услуг связи и которые находятся в роуминге на территории Российской Федерации, должен осуществляться только через станцию сопряжения лицензиата, находящуюся на территории Российской Федерации.</w:t>
            </w:r>
          </w:p>
        </w:tc>
      </w:tr>
      <w:tr w:rsidR="00E41AED" w:rsidTr="00E41AED">
        <w:trPr>
          <w:trHeight w:val="427"/>
        </w:trPr>
        <w:tc>
          <w:tcPr>
            <w:tcW w:w="9923" w:type="dxa"/>
          </w:tcPr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</w:p>
          <w:p w:rsidR="00E41AED" w:rsidRDefault="00E41AE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* Оказание услуг, предусмотренных настоящей лицензией, может сопровождаться предоставлением иных услуг, технологически неразрывно связанных с телематическими услугами связи и направленных на повышение их потребительской ценности, если для этого не требуется отдельной лицензии.</w:t>
            </w:r>
          </w:p>
        </w:tc>
      </w:tr>
    </w:tbl>
    <w:p w:rsidR="00E41AED" w:rsidRDefault="00E41AED">
      <w:bookmarkStart w:id="0" w:name="_GoBack"/>
      <w:bookmarkEnd w:id="0"/>
    </w:p>
    <w:sectPr w:rsidR="00E41AED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C1" w:rsidRDefault="00C506C1" w:rsidP="00A650CF">
      <w:r>
        <w:separator/>
      </w:r>
    </w:p>
  </w:endnote>
  <w:endnote w:type="continuationSeparator" w:id="0">
    <w:p w:rsidR="00C506C1" w:rsidRDefault="00C506C1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C1" w:rsidRDefault="00C506C1" w:rsidP="00A650CF">
      <w:r>
        <w:separator/>
      </w:r>
    </w:p>
  </w:footnote>
  <w:footnote w:type="continuationSeparator" w:id="0">
    <w:p w:rsidR="00C506C1" w:rsidRDefault="00C506C1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2E6910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1AED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0B70"/>
  <w15:docId w15:val="{1C822EF2-426A-4A53-8B0D-A7E7B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AED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AED"/>
    <w:rPr>
      <w:rFonts w:ascii="Times New Roman CYR" w:eastAsia="Times New Roman" w:hAnsi="Times New Roman CYR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47FA5" w:rsidP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4C99CA2-D73F-4665-A921-C11ADDE16E5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Никонова Наталья Валентиновна</cp:lastModifiedBy>
  <cp:revision>80</cp:revision>
  <cp:lastPrinted>2020-07-15T09:29:00Z</cp:lastPrinted>
  <dcterms:created xsi:type="dcterms:W3CDTF">2020-07-15T09:39:00Z</dcterms:created>
  <dcterms:modified xsi:type="dcterms:W3CDTF">2024-04-08T09:31:00Z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