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49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1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085"/>
        <w:gridCol w:w="5865"/>
        <w:gridCol w:w="754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pPr>
              <w:wordWrap w:val="0"/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</w:p>
        </w:tc>
        <w:tc>
          <w:tcPr>
            <w:tcW w:w="5865" w:type="dxa"/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22"/>
              </w:rPr>
              <w:t>Отчет об изменениях капитала</w:t>
            </w:r>
          </w:p>
        </w:tc>
        <w:tc>
          <w:tcPr>
            <w:tcW w:w="7545" w:type="dxa"/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</w:p>
        </w:tc>
        <w:tc>
          <w:tcPr>
            <w:tcW w:w="105" w:type="dxa"/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</w:p>
        </w:tc>
      </w:tr>
    </w:tbl>
    <w:tbl>
      <w:tblPr>
        <w:tblStyle w:val="TableStyle2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395"/>
        <w:gridCol w:w="690"/>
        <w:gridCol w:w="1035"/>
        <w:gridCol w:w="345"/>
        <w:gridCol w:w="1035"/>
        <w:gridCol w:w="1725"/>
        <w:gridCol w:w="1710"/>
        <w:gridCol w:w="1050"/>
        <w:gridCol w:w="690"/>
        <w:gridCol w:w="345"/>
        <w:gridCol w:w="330"/>
        <w:gridCol w:w="705"/>
        <w:gridCol w:w="444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3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9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5850" w:type="dxa"/>
            <w:gridSpan w:val="5"/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9"/>
                <w:szCs w:val="19"/>
              </w:rPr>
              <w:t xml:space="preserve"> за Январь - Декабрь 2023 г.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0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Коды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3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9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70" w:type="dxa"/>
            <w:gridSpan w:val="4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0710004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3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9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39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654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b/>
                <w:sz w:val="18"/>
                <w:szCs w:val="18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207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01134108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4D7CCF" w:rsidRDefault="004D7CCF" w:rsidP="00901608"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0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07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8"/>
                <w:szCs w:val="18"/>
              </w:rPr>
              <w:t>7712005121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4D7CCF" w:rsidRDefault="004D7CCF" w:rsidP="00901608">
            <w:r>
              <w:rPr>
                <w:sz w:val="18"/>
                <w:szCs w:val="18"/>
              </w:rPr>
              <w:t>Вид экономической</w:t>
            </w:r>
          </w:p>
          <w:p w:rsidR="004D7CCF" w:rsidRDefault="004D7CCF" w:rsidP="00901608"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585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b/>
                <w:sz w:val="18"/>
                <w:szCs w:val="18"/>
              </w:rPr>
              <w:t>Деятельность в области связи на базе проводных технологий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по</w:t>
            </w:r>
          </w:p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ОКВЭД 2</w:t>
            </w:r>
          </w:p>
        </w:tc>
        <w:tc>
          <w:tcPr>
            <w:tcW w:w="207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61.1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225" w:type="dxa"/>
            <w:gridSpan w:val="6"/>
            <w:shd w:val="clear" w:color="auto" w:fill="auto"/>
            <w:vAlign w:val="bottom"/>
          </w:tcPr>
          <w:p w:rsidR="004D7CCF" w:rsidRDefault="004D7CCF" w:rsidP="00901608">
            <w:r>
              <w:rPr>
                <w:sz w:val="18"/>
                <w:szCs w:val="18"/>
              </w:rPr>
              <w:t>Организационно-правовая форма / форма собственности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65241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1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b/>
                <w:sz w:val="18"/>
                <w:szCs w:val="18"/>
              </w:rPr>
              <w:t>Федеральные государственные унитарные предприятия</w:t>
            </w:r>
          </w:p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18"/>
                <w:szCs w:val="18"/>
              </w:rPr>
              <w:t xml:space="preserve">  /</w:t>
            </w:r>
          </w:p>
        </w:tc>
        <w:tc>
          <w:tcPr>
            <w:tcW w:w="276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b/>
                <w:sz w:val="18"/>
                <w:szCs w:val="18"/>
              </w:rPr>
              <w:t>унитарная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по ОКОПФ / ОКФС</w:t>
            </w:r>
          </w:p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4D7CCF" w:rsidRDefault="004D7CCF" w:rsidP="00901608"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2415" w:type="dxa"/>
            <w:gridSpan w:val="3"/>
            <w:shd w:val="clear" w:color="auto" w:fill="auto"/>
            <w:vAlign w:val="bottom"/>
          </w:tcPr>
          <w:p w:rsidR="004D7CCF" w:rsidRDefault="004D7CCF" w:rsidP="00901608">
            <w:r>
              <w:rPr>
                <w:sz w:val="18"/>
                <w:szCs w:val="18"/>
              </w:rPr>
              <w:t>в тыс. рублей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0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2070" w:type="dxa"/>
            <w:gridSpan w:val="4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384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3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49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4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49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b/>
                <w:sz w:val="20"/>
                <w:szCs w:val="20"/>
              </w:rPr>
              <w:t>1. Движение капитала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5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0"/>
        <w:gridCol w:w="4260"/>
        <w:gridCol w:w="705"/>
        <w:gridCol w:w="1710"/>
        <w:gridCol w:w="1725"/>
        <w:gridCol w:w="1725"/>
        <w:gridCol w:w="1710"/>
        <w:gridCol w:w="1725"/>
        <w:gridCol w:w="172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Код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Уставный капитал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Собственные акции, выкупленные у акционеров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Добавочный капитал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Резервный капитал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Нераспределенная прибыль (непокрытый убыток)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Величина капитала на 31 декабря 2021 г.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50 000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4 298 760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2 097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2 453 084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6 803 941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  <w:u w:val="single"/>
              </w:rPr>
              <w:t>За 2022 г.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Увеличение капитала - всего: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63 276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31 799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95 075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3211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переоценка имущества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доходы, относящиеся непосредственно на увеличение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63 276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3 266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66 542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дополнительный выпуск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увеличение номинальной стоимости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реорганизация юридического лица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3216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Уменьшение капитала - всего: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(4 610)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(14 199)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(18 809)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убыток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переоценка имущества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(4 610)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(4 610)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расходы, относящиеся непосредственно на уменьшение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уменьшение номинальной стоимости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уменьшение количества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реорганизация юридического лица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дивиденды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3227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(14 199)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(14 199)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6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0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lastRenderedPageBreak/>
              <w:br w:type="page"/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Cs w:val="16"/>
              </w:rPr>
              <w:t>Форма 0710004 с.2</w:t>
            </w:r>
          </w:p>
        </w:tc>
      </w:tr>
    </w:tbl>
    <w:tbl>
      <w:tblPr>
        <w:tblStyle w:val="TableStyle1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0"/>
        <w:gridCol w:w="4260"/>
        <w:gridCol w:w="705"/>
        <w:gridCol w:w="1710"/>
        <w:gridCol w:w="1725"/>
        <w:gridCol w:w="1725"/>
        <w:gridCol w:w="1710"/>
        <w:gridCol w:w="1725"/>
        <w:gridCol w:w="172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Код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Уставный капитал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Собственные акции, выкупленные у акционеров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Добавочный капитал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Резервный капитал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Нераспределенная прибыль (непокрытый убыток)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 добавочного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3230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(67)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Величина капитала на 31 декабря 2022 г.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50 000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4 357 426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2 164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2 470 617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6 880 207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  <w:u w:val="single"/>
              </w:rPr>
              <w:t>За 2023 г.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Увеличение капитала - всего: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12 586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15 080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27 666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3311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15 080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15 080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переоценка имущества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доходы, относящиеся непосредственно на увеличение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12 586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12 586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дополнительный выпуск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увеличение номинальной стоимости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3315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реорганизация юридического лица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3316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Уменьшение капитала - всего: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(74)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(17 896)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(17 970)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убыток</w:t>
            </w:r>
          </w:p>
        </w:tc>
        <w:tc>
          <w:tcPr>
            <w:tcW w:w="7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3321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переоценка имущества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расходы, относящиеся непосредственно на уменьшение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(74)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(74)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уменьшение номинальной стоимости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3324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уменьшение количества акций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3325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реорганизация юридического лица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4D7CCF" w:rsidRDefault="004D7CCF" w:rsidP="00901608">
            <w:pPr>
              <w:ind w:left="210"/>
            </w:pPr>
            <w:r>
              <w:rPr>
                <w:sz w:val="20"/>
                <w:szCs w:val="20"/>
              </w:rPr>
              <w:t>дивиденды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3327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(17 896)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(17 896)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 добавочного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3330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(42)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Величина капитала на 31 декабря 2023 г.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50 000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4 369 896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2 192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2 467 814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6 889 902</w:t>
            </w:r>
          </w:p>
        </w:tc>
      </w:tr>
    </w:tbl>
    <w:tbl>
      <w:tblPr>
        <w:tblStyle w:val="TableStyle2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0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lastRenderedPageBreak/>
              <w:br w:type="page"/>
            </w:r>
          </w:p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  <w:rPr>
                <w:szCs w:val="16"/>
              </w:rPr>
            </w:pP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gridSpan w:val="2"/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b/>
                <w:sz w:val="20"/>
                <w:szCs w:val="20"/>
              </w:rPr>
              <w:t>2. Корректировки в связи с изменением учетной политики и исправлением ошибок</w:t>
            </w:r>
          </w:p>
        </w:tc>
      </w:tr>
    </w:tbl>
    <w:tbl>
      <w:tblPr>
        <w:tblStyle w:val="TableStyle1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30"/>
        <w:gridCol w:w="345"/>
        <w:gridCol w:w="330"/>
        <w:gridCol w:w="3465"/>
        <w:gridCol w:w="690"/>
        <w:gridCol w:w="1725"/>
        <w:gridCol w:w="1710"/>
        <w:gridCol w:w="1725"/>
        <w:gridCol w:w="1710"/>
        <w:gridCol w:w="346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6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Код</w:t>
            </w:r>
          </w:p>
        </w:tc>
        <w:tc>
          <w:tcPr>
            <w:tcW w:w="17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 31 декабря 2021 г.</w:t>
            </w:r>
          </w:p>
        </w:tc>
        <w:tc>
          <w:tcPr>
            <w:tcW w:w="34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Изменения капитала за 2022 г.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 31 декабря 2022 г.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за счет чистой прибыли (убытка)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за счет иных факторов</w:t>
            </w: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b/>
                <w:sz w:val="20"/>
                <w:szCs w:val="20"/>
              </w:rPr>
              <w:t>Капитал - всего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 xml:space="preserve">    до корректировок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6 196 123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655 550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6 880 206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 xml:space="preserve">    корректировка в связи с: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 xml:space="preserve">        изменением учетной политики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3410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 xml:space="preserve">        исправлением ошибок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 xml:space="preserve">    после корректировок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6 196 123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655 550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6 880 206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140" w:type="dxa"/>
            <w:gridSpan w:val="3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нераспределенная прибыль (непокрытый убыток):</w:t>
            </w:r>
          </w:p>
        </w:tc>
        <w:tc>
          <w:tcPr>
            <w:tcW w:w="69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до корректировок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3401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1 775 642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666 442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2 470 617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корректировка в связи с: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изменением учетной политики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исправлением ошибок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3421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после корректировок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3501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1 775 642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28 533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666 442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2 470 617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top w:val="non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140" w:type="dxa"/>
            <w:gridSpan w:val="3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по другим статьям капитала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non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non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non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до корректировок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3402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корректировка в связи с: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изменением учетной политики</w:t>
            </w:r>
          </w:p>
        </w:tc>
        <w:tc>
          <w:tcPr>
            <w:tcW w:w="69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3412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6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исправлением ошибок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3422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79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после корректировок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3502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2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bottom"/>
          </w:tcPr>
          <w:p w:rsidR="004D7CCF" w:rsidRDefault="004D7CCF" w:rsidP="00901608"/>
        </w:tc>
      </w:tr>
    </w:tbl>
    <w:p w:rsidR="004D7CCF" w:rsidRDefault="004D7CCF" w:rsidP="004D7CCF"/>
    <w:p w:rsidR="004D7CCF" w:rsidRDefault="004D7CCF" w:rsidP="004D7CCF"/>
    <w:tbl>
      <w:tblPr>
        <w:tblStyle w:val="TableStyle0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8610"/>
        <w:gridCol w:w="688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861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6885" w:type="dxa"/>
            <w:shd w:val="clear" w:color="auto" w:fill="auto"/>
            <w:vAlign w:val="center"/>
          </w:tcPr>
          <w:p w:rsidR="004D7CCF" w:rsidRDefault="004D7CCF" w:rsidP="00901608">
            <w:pPr>
              <w:jc w:val="right"/>
            </w:pPr>
            <w:r>
              <w:rPr>
                <w:szCs w:val="16"/>
              </w:rPr>
              <w:t>Форма 0710004 с.4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gridSpan w:val="2"/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b/>
                <w:sz w:val="20"/>
                <w:szCs w:val="20"/>
              </w:rPr>
              <w:t>3. Чистые активы</w:t>
            </w:r>
          </w:p>
        </w:tc>
      </w:tr>
    </w:tbl>
    <w:tbl>
      <w:tblPr>
        <w:tblStyle w:val="TableStyle1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4470"/>
        <w:gridCol w:w="705"/>
        <w:gridCol w:w="1710"/>
        <w:gridCol w:w="1725"/>
        <w:gridCol w:w="1725"/>
        <w:gridCol w:w="516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Код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 31 декабря 2023 г.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 31 декабря 2022 г.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CCF" w:rsidRDefault="004D7CCF" w:rsidP="00901608">
            <w:pPr>
              <w:jc w:val="center"/>
            </w:pPr>
            <w:r>
              <w:rPr>
                <w:szCs w:val="16"/>
              </w:rPr>
              <w:t>На 31 декабря 2021 г.</w:t>
            </w:r>
          </w:p>
        </w:tc>
        <w:tc>
          <w:tcPr>
            <w:tcW w:w="516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r>
              <w:rPr>
                <w:sz w:val="20"/>
                <w:szCs w:val="20"/>
              </w:rPr>
              <w:t>Чистые активы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6 896 673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6 889 541</w:t>
            </w:r>
          </w:p>
        </w:tc>
        <w:tc>
          <w:tcPr>
            <w:tcW w:w="17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20"/>
                <w:szCs w:val="20"/>
              </w:rPr>
              <w:t>6 813 598</w:t>
            </w:r>
          </w:p>
        </w:tc>
        <w:tc>
          <w:tcPr>
            <w:tcW w:w="516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2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49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549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3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055"/>
        <w:gridCol w:w="444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105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4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485"/>
        <w:gridCol w:w="1125"/>
        <w:gridCol w:w="360"/>
        <w:gridCol w:w="2700"/>
        <w:gridCol w:w="1275"/>
        <w:gridCol w:w="1080"/>
        <w:gridCol w:w="330"/>
        <w:gridCol w:w="2700"/>
        <w:gridCol w:w="444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485" w:type="dxa"/>
            <w:shd w:val="clear" w:color="auto" w:fill="auto"/>
            <w:vAlign w:val="bottom"/>
          </w:tcPr>
          <w:p w:rsidR="004D7CCF" w:rsidRDefault="004D7CCF" w:rsidP="00901608">
            <w:pPr>
              <w:jc w:val="right"/>
            </w:pPr>
            <w:r>
              <w:rPr>
                <w:sz w:val="19"/>
                <w:szCs w:val="19"/>
              </w:rPr>
              <w:t>Руководитель</w:t>
            </w:r>
          </w:p>
        </w:tc>
        <w:tc>
          <w:tcPr>
            <w:tcW w:w="11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60" w:type="dxa"/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27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b/>
                <w:sz w:val="18"/>
                <w:szCs w:val="18"/>
              </w:rPr>
              <w:t>Алексеев Алексей Иванович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8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70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485" w:type="dxa"/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</w:p>
        </w:tc>
        <w:tc>
          <w:tcPr>
            <w:tcW w:w="1125" w:type="dxa"/>
            <w:shd w:val="clear" w:color="auto" w:fill="auto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4D7CCF" w:rsidRDefault="004D7CCF" w:rsidP="0090160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4D7CCF" w:rsidRDefault="004D7CCF" w:rsidP="00901608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(расшифровка подписи)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8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33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70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5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055"/>
        <w:gridCol w:w="444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105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tbl>
      <w:tblPr>
        <w:tblStyle w:val="TableStyle6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385"/>
        <w:gridCol w:w="8685"/>
        <w:gridCol w:w="4425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23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CCF" w:rsidRDefault="004D7CCF" w:rsidP="00901608">
            <w:pPr>
              <w:jc w:val="center"/>
            </w:pPr>
            <w:r>
              <w:rPr>
                <w:sz w:val="18"/>
                <w:szCs w:val="18"/>
              </w:rPr>
              <w:t>28 февраля 2024 г.</w:t>
            </w:r>
          </w:p>
        </w:tc>
        <w:tc>
          <w:tcPr>
            <w:tcW w:w="868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2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>
            <w:r>
              <w:rPr>
                <w:szCs w:val="16"/>
              </w:rPr>
              <w:t xml:space="preserve"> </w:t>
            </w:r>
          </w:p>
        </w:tc>
      </w:tr>
    </w:tbl>
    <w:tbl>
      <w:tblPr>
        <w:tblStyle w:val="TableStyle7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1055"/>
        <w:gridCol w:w="4440"/>
        <w:gridCol w:w="105"/>
      </w:tblGrid>
      <w:tr w:rsidR="004D7CCF" w:rsidTr="0090160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1055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4440" w:type="dxa"/>
            <w:shd w:val="clear" w:color="auto" w:fill="auto"/>
            <w:vAlign w:val="bottom"/>
          </w:tcPr>
          <w:p w:rsidR="004D7CCF" w:rsidRDefault="004D7CCF" w:rsidP="00901608"/>
        </w:tc>
        <w:tc>
          <w:tcPr>
            <w:tcW w:w="105" w:type="dxa"/>
            <w:shd w:val="clear" w:color="auto" w:fill="auto"/>
            <w:vAlign w:val="bottom"/>
          </w:tcPr>
          <w:p w:rsidR="004D7CCF" w:rsidRDefault="004D7CCF" w:rsidP="00901608"/>
        </w:tc>
      </w:tr>
    </w:tbl>
    <w:p w:rsidR="004D7CCF" w:rsidRDefault="004D7CCF" w:rsidP="004D7CCF">
      <w:bookmarkStart w:id="0" w:name="_GoBack"/>
      <w:bookmarkEnd w:id="0"/>
    </w:p>
    <w:sectPr w:rsidR="004D7CC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C"/>
    <w:rsid w:val="004D7CCF"/>
    <w:rsid w:val="0074493C"/>
    <w:rsid w:val="008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6CB"/>
  <w15:chartTrackingRefBased/>
  <w15:docId w15:val="{06D4201C-C948-42EB-ACF8-8E82AFA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D7C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2</cp:revision>
  <dcterms:created xsi:type="dcterms:W3CDTF">2024-04-05T08:37:00Z</dcterms:created>
  <dcterms:modified xsi:type="dcterms:W3CDTF">2024-04-05T08:42:00Z</dcterms:modified>
</cp:coreProperties>
</file>